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6B" w:rsidRPr="0041223E" w:rsidRDefault="000E506B" w:rsidP="000E506B">
      <w:pPr>
        <w:rPr>
          <w:rFonts w:ascii="Agency FB" w:hAnsi="Agency FB"/>
          <w:sz w:val="36"/>
          <w:szCs w:val="36"/>
        </w:rPr>
      </w:pPr>
      <w:bookmarkStart w:id="0" w:name="_GoBack"/>
      <w:bookmarkEnd w:id="0"/>
      <w:r>
        <w:rPr>
          <w:rFonts w:ascii="Agency FB" w:hAnsi="Agency FB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5AD449E" wp14:editId="332E2715">
            <wp:simplePos x="0" y="0"/>
            <wp:positionH relativeFrom="column">
              <wp:posOffset>-81280</wp:posOffset>
            </wp:positionH>
            <wp:positionV relativeFrom="paragraph">
              <wp:posOffset>1270</wp:posOffset>
            </wp:positionV>
            <wp:extent cx="1076325" cy="1077595"/>
            <wp:effectExtent l="0" t="0" r="9525" b="8255"/>
            <wp:wrapTight wrapText="bothSides">
              <wp:wrapPolygon edited="0">
                <wp:start x="6881" y="0"/>
                <wp:lineTo x="4205" y="1146"/>
                <wp:lineTo x="0" y="4964"/>
                <wp:lineTo x="0" y="14510"/>
                <wp:lineTo x="1912" y="18329"/>
                <wp:lineTo x="1912" y="18711"/>
                <wp:lineTo x="6499" y="21384"/>
                <wp:lineTo x="6881" y="21384"/>
                <wp:lineTo x="14527" y="21384"/>
                <wp:lineTo x="14910" y="21384"/>
                <wp:lineTo x="19497" y="18711"/>
                <wp:lineTo x="19497" y="18329"/>
                <wp:lineTo x="21409" y="14510"/>
                <wp:lineTo x="21409" y="4964"/>
                <wp:lineTo x="17204" y="1146"/>
                <wp:lineTo x="14527" y="0"/>
                <wp:lineTo x="688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49A">
        <w:rPr>
          <w:rFonts w:ascii="Agency FB" w:hAnsi="Agency FB"/>
          <w:b/>
          <w:sz w:val="36"/>
          <w:szCs w:val="36"/>
        </w:rPr>
        <w:t>Centrum Kształcenia Zawodowego i Ustawicznego Nr 2</w:t>
      </w:r>
      <w:r w:rsidRPr="0029349A">
        <w:rPr>
          <w:rFonts w:ascii="Agency FB" w:hAnsi="Agency FB"/>
          <w:b/>
          <w:sz w:val="36"/>
          <w:szCs w:val="36"/>
        </w:rPr>
        <w:br/>
      </w:r>
      <w:r w:rsidRPr="0029349A">
        <w:rPr>
          <w:rFonts w:ascii="Agency FB" w:hAnsi="Agency FB"/>
          <w:sz w:val="36"/>
          <w:szCs w:val="36"/>
        </w:rPr>
        <w:t xml:space="preserve">Gdynia, ul. </w:t>
      </w:r>
      <w:r w:rsidRPr="0041223E">
        <w:rPr>
          <w:rFonts w:ascii="Agency FB" w:hAnsi="Agency FB"/>
          <w:sz w:val="36"/>
          <w:szCs w:val="36"/>
        </w:rPr>
        <w:t>Płk. D</w:t>
      </w:r>
      <w:r w:rsidRPr="0041223E">
        <w:rPr>
          <w:sz w:val="36"/>
          <w:szCs w:val="36"/>
        </w:rPr>
        <w:t>ą</w:t>
      </w:r>
      <w:r w:rsidRPr="0041223E">
        <w:rPr>
          <w:rFonts w:ascii="Agency FB" w:hAnsi="Agency FB"/>
          <w:sz w:val="36"/>
          <w:szCs w:val="36"/>
        </w:rPr>
        <w:t>bka 207</w:t>
      </w:r>
    </w:p>
    <w:p w:rsidR="000E506B" w:rsidRPr="0041223E" w:rsidRDefault="000E506B" w:rsidP="000E506B">
      <w:pPr>
        <w:rPr>
          <w:rFonts w:ascii="Agency FB" w:hAnsi="Agency FB"/>
          <w:b/>
          <w:noProof/>
          <w:sz w:val="28"/>
          <w:szCs w:val="28"/>
          <w:lang w:val="en-US" w:eastAsia="pl-PL"/>
        </w:rPr>
      </w:pPr>
      <w:r w:rsidRPr="0041223E">
        <w:rPr>
          <w:rFonts w:ascii="Agency FB" w:hAnsi="Agency FB"/>
          <w:b/>
          <w:sz w:val="28"/>
          <w:szCs w:val="28"/>
          <w:lang w:val="en-US"/>
        </w:rPr>
        <w:t>tel: 586222624</w:t>
      </w:r>
      <w:r>
        <w:rPr>
          <w:rFonts w:ascii="Agency FB" w:hAnsi="Agency FB"/>
          <w:b/>
          <w:sz w:val="28"/>
          <w:szCs w:val="28"/>
          <w:lang w:val="en-US"/>
        </w:rPr>
        <w:t xml:space="preserve">    </w:t>
      </w:r>
      <w:r w:rsidRPr="0041223E">
        <w:rPr>
          <w:rFonts w:ascii="Agency FB" w:hAnsi="Agency FB"/>
          <w:b/>
          <w:sz w:val="28"/>
          <w:szCs w:val="28"/>
          <w:lang w:val="en-US"/>
        </w:rPr>
        <w:t>fax: 586220822</w:t>
      </w:r>
      <w:r>
        <w:rPr>
          <w:rFonts w:ascii="Agency FB" w:hAnsi="Agency FB"/>
          <w:b/>
          <w:sz w:val="28"/>
          <w:szCs w:val="28"/>
          <w:lang w:val="en-US"/>
        </w:rPr>
        <w:t xml:space="preserve">   </w:t>
      </w:r>
      <w:r w:rsidRPr="0041223E">
        <w:rPr>
          <w:rFonts w:ascii="Agency FB" w:hAnsi="Agency FB"/>
          <w:b/>
          <w:sz w:val="28"/>
          <w:szCs w:val="28"/>
          <w:lang w:val="en-US"/>
        </w:rPr>
        <w:t xml:space="preserve"> e-mail:</w:t>
      </w:r>
      <w:r w:rsidRPr="0041223E">
        <w:rPr>
          <w:rFonts w:ascii="Agency FB" w:hAnsi="Agency FB"/>
          <w:b/>
          <w:noProof/>
          <w:sz w:val="28"/>
          <w:szCs w:val="28"/>
          <w:lang w:val="en-US" w:eastAsia="pl-PL"/>
        </w:rPr>
        <w:t xml:space="preserve"> sekretariat@ckziu2.edu.gdynia.pl</w:t>
      </w:r>
    </w:p>
    <w:p w:rsidR="000E506B" w:rsidRDefault="000E506B" w:rsidP="000E506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506B" w:rsidRPr="000E506B" w:rsidRDefault="000E506B" w:rsidP="000E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zapewnienie dostępności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składać:</w:t>
      </w:r>
    </w:p>
    <w:p w:rsidR="000E506B" w:rsidRPr="000E506B" w:rsidRDefault="000E506B" w:rsidP="000E5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osobiście: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Centrum Kształcenia Zawodowego i Ustawicznego nr 2, 81-155 Gdynia ul. Płk. Dąbka 207</w:t>
      </w:r>
    </w:p>
    <w:p w:rsidR="000E506B" w:rsidRPr="000E506B" w:rsidRDefault="000E506B" w:rsidP="000E5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korespondencją pocztową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Centrum Kształcenia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Ustawicznego nr 2, 81-155 Gdynia ul. Płk. Dąbka 207,</w:t>
      </w:r>
    </w:p>
    <w:p w:rsidR="000E506B" w:rsidRDefault="000E506B" w:rsidP="000E50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korespondencją elektroniczną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 </w:t>
      </w:r>
      <w:hyperlink r:id="rId7" w:history="1">
        <w:r w:rsidRPr="00584D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sekretariat@ckziu2.edu.gdynia.pl</w:t>
        </w:r>
      </w:hyperlink>
    </w:p>
    <w:p w:rsidR="000E506B" w:rsidRPr="000E506B" w:rsidRDefault="000E506B" w:rsidP="000E50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poprzez ePUAP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E506B" w:rsidRPr="000E506B" w:rsidRDefault="000E506B" w:rsidP="000E5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Dostępność architektoniczna lub informacyjno - komunikacyjna</w:t>
      </w:r>
    </w:p>
    <w:p w:rsidR="000E506B" w:rsidRDefault="000E506B" w:rsidP="0033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30 ustawy z dnia 19 lipca 2019 roku o zapewnianiu dostępności osobom ze szczególnymi potrzebami wniosek może złożyć osoba ze szczególnymi potrzebami lub jej przedstawiciel ustawowy, po wykazaniu interesu faktycznego.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 faktyczny to  potrzeba skorzystania z usług świadczonych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CKZiU nr 2 w Gdyni.</w:t>
      </w:r>
    </w:p>
    <w:p w:rsidR="000E506B" w:rsidRPr="000E506B" w:rsidRDefault="000E506B" w:rsidP="000E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06B" w:rsidRPr="000E506B" w:rsidRDefault="000E506B" w:rsidP="000E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zawierać:</w:t>
      </w:r>
    </w:p>
    <w:p w:rsidR="000E506B" w:rsidRPr="000E506B" w:rsidRDefault="000E506B" w:rsidP="000E50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wnioskodawcy,</w:t>
      </w:r>
    </w:p>
    <w:p w:rsidR="000E506B" w:rsidRPr="000E506B" w:rsidRDefault="000E506B" w:rsidP="000E50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informacyjno-komunikacyjnym,</w:t>
      </w:r>
    </w:p>
    <w:p w:rsidR="000E506B" w:rsidRPr="000E506B" w:rsidRDefault="000E506B" w:rsidP="000E50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Wnioskodawcą,</w:t>
      </w:r>
    </w:p>
    <w:p w:rsidR="000E506B" w:rsidRPr="000E506B" w:rsidRDefault="000E506B" w:rsidP="000E506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0E506B" w:rsidRPr="000E506B" w:rsidRDefault="000E506B" w:rsidP="0033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realizowany jest nie później niż </w:t>
      </w: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 od dnia złożenia wniosku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dotrzymanie tego terminu nie jest możliwe,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CKZiU nr 2 w Gdyni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powiadamia wnioskodawcę o przyczynach opóźnienia i wskazuje nowy termin. Termin nie może być dłuższy niż 2 miesiące od dnia złożenia wniosku.</w:t>
      </w:r>
      <w:r w:rsidR="0033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gdy zapewnienie dostępności jest niemożliwe lub znacznie utrudnione, np. ze względów technicznych lub prawnych,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CKZiU nr 2 w Gdyni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zawiadamia wnioskodawcę o braku możliwości zapewnienia dostępności i zapewnia dostęp alternatywny.</w:t>
      </w:r>
    </w:p>
    <w:p w:rsidR="000E506B" w:rsidRPr="000E506B" w:rsidRDefault="000E506B" w:rsidP="0033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32 ust. 2 ustawy z dnia 19 lipca 2019 roku o zapewnianiu dostępności osobom ze szczególnymi potrzebami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na złożenie skargi na organ, do którego został złożony wniosek. Dni te należy liczyć od daty upływu terminu na zapewnienie dostępności (14 dni od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wniosku) lub terminu wskazanego w powiadomieniu ze względu na opóźnienia. Skargę należy złożyć do Prezesa Zarządu PFRON-u.</w:t>
      </w:r>
      <w:r w:rsidR="004F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postępowania skargowego w przypadku braku zapewnienia dostępności znajduje się</w:t>
      </w:r>
      <w:hyperlink r:id="rId8" w:tgtFrame="_blank" w:history="1">
        <w:r w:rsidRPr="000E506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 stronie PFRON-u.</w:t>
        </w:r>
      </w:hyperlink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19E" w:rsidRDefault="000E506B" w:rsidP="000E5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33719E" w:rsidRDefault="0033719E" w:rsidP="000E5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E506B" w:rsidRPr="000E506B" w:rsidRDefault="000E506B" w:rsidP="000E5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cyfrowa</w:t>
      </w:r>
    </w:p>
    <w:p w:rsidR="000E506B" w:rsidRPr="000E506B" w:rsidRDefault="000E506B" w:rsidP="0033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4 kwietnia 2019 r. o dostępności cyfrowej stron internetowych </w:t>
      </w:r>
      <w:r w:rsidR="004F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aplikacji mobilnych podmiotów publicznych każdy ma prawo wystąpić do podmiotu publicznego z żądaniem zapewnienia dostępności cyfrowej wskazanej strony internetowej, aplikacji mobilnej lub elementu strony internetowej lub zapewnienie dostępu alternatywnego. </w:t>
      </w:r>
    </w:p>
    <w:p w:rsidR="000E506B" w:rsidRPr="000E506B" w:rsidRDefault="000E506B" w:rsidP="000E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zawierać:</w:t>
      </w:r>
    </w:p>
    <w:p w:rsidR="000E506B" w:rsidRPr="000E506B" w:rsidRDefault="000E506B" w:rsidP="004F09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:rsidR="000E506B" w:rsidRPr="000E506B" w:rsidRDefault="000E506B" w:rsidP="004F09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cyfrowo,</w:t>
      </w:r>
    </w:p>
    <w:p w:rsidR="000E506B" w:rsidRPr="000E506B" w:rsidRDefault="000E506B" w:rsidP="004F09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:rsidR="000E506B" w:rsidRPr="000E506B" w:rsidRDefault="000E506B" w:rsidP="004F09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:rsidR="000E506B" w:rsidRPr="000E506B" w:rsidRDefault="000E506B" w:rsidP="0033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realizowany jest nie później niż 7 dni od dnia złożenia wniosku. W przypadku, gdy dotrzymanie tego terminu nie jest możliwe, podmiot niezwłocznie powiadamia wnioskodawcę o przyczynach opóźnienia i wyznacza nowy termin lub informuje o braku możliwości jego realizacji ze wskazaniem możliwego dostępu alternatywnego. Wyznaczony termin nie może być dłuższy niż 2 miesiące od dnia złożenia wniosku.</w:t>
      </w:r>
      <w:r w:rsidR="0033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może odmówić zapewnienia dostępności cyfrowej w przypadku wystąpienia ryzyka naruszenia integralności lub wiarygodności przekazywanych informacji.</w:t>
      </w:r>
    </w:p>
    <w:p w:rsidR="000E506B" w:rsidRPr="000E506B" w:rsidRDefault="000E506B" w:rsidP="0033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rozpatrywania skargi w sprawach zapewnienia dostępności cyfrowej stosuje się przepisy ustawy z dnia 14 czerwca 1960 r. - Kodeks postępowania administracyjnego</w:t>
      </w:r>
      <w:r w:rsidR="0033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 z 2021 r. poz. 735). </w:t>
      </w:r>
    </w:p>
    <w:p w:rsidR="008A28A2" w:rsidRDefault="008A28A2" w:rsidP="00337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5B1" w:rsidRDefault="0033719E" w:rsidP="00337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</w:t>
      </w:r>
      <w:r w:rsidRPr="000E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</w:p>
    <w:p w:rsidR="008A28A2" w:rsidRPr="008A28A2" w:rsidRDefault="008A28A2" w:rsidP="003371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A28A2">
        <w:rPr>
          <w:rFonts w:ascii="Times New Roman" w:hAnsi="Times New Roman" w:cs="Times New Roman"/>
          <w:sz w:val="24"/>
          <w:szCs w:val="24"/>
        </w:rPr>
        <w:t>Wniosek o zapewnienie dostępności architektonicznej lub informacyjno-komunikacyjnej.</w:t>
      </w:r>
    </w:p>
    <w:p w:rsidR="008A28A2" w:rsidRPr="008A28A2" w:rsidRDefault="008A28A2" w:rsidP="003371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A28A2">
        <w:rPr>
          <w:rFonts w:ascii="Times New Roman" w:hAnsi="Times New Roman" w:cs="Times New Roman"/>
          <w:sz w:val="24"/>
          <w:szCs w:val="24"/>
        </w:rPr>
        <w:t>Wniosek o zapewnienie dostępności cyfrowej strony internetowej, aplikacji mobilnej lub ich elementów.</w:t>
      </w:r>
    </w:p>
    <w:p w:rsidR="008A28A2" w:rsidRDefault="008A28A2" w:rsidP="0033719E">
      <w:pPr>
        <w:spacing w:before="100" w:beforeAutospacing="1" w:after="100" w:afterAutospacing="1" w:line="240" w:lineRule="auto"/>
        <w:outlineLvl w:val="2"/>
      </w:pPr>
    </w:p>
    <w:sectPr w:rsidR="008A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F8"/>
    <w:multiLevelType w:val="multilevel"/>
    <w:tmpl w:val="A5E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1F5F"/>
    <w:multiLevelType w:val="multilevel"/>
    <w:tmpl w:val="7F5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5884"/>
    <w:multiLevelType w:val="multilevel"/>
    <w:tmpl w:val="0C8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0A53"/>
    <w:multiLevelType w:val="multilevel"/>
    <w:tmpl w:val="9960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E7181"/>
    <w:multiLevelType w:val="multilevel"/>
    <w:tmpl w:val="8A5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216"/>
    <w:multiLevelType w:val="multilevel"/>
    <w:tmpl w:val="070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F28DD"/>
    <w:multiLevelType w:val="multilevel"/>
    <w:tmpl w:val="DCB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43B26"/>
    <w:multiLevelType w:val="multilevel"/>
    <w:tmpl w:val="D1A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70B6B"/>
    <w:multiLevelType w:val="multilevel"/>
    <w:tmpl w:val="806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31FCD"/>
    <w:multiLevelType w:val="multilevel"/>
    <w:tmpl w:val="5E7E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2069B"/>
    <w:multiLevelType w:val="multilevel"/>
    <w:tmpl w:val="508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B7274"/>
    <w:multiLevelType w:val="multilevel"/>
    <w:tmpl w:val="440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20B46"/>
    <w:multiLevelType w:val="multilevel"/>
    <w:tmpl w:val="4EB6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4061B"/>
    <w:multiLevelType w:val="multilevel"/>
    <w:tmpl w:val="F5F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B"/>
    <w:rsid w:val="000E506B"/>
    <w:rsid w:val="0033719E"/>
    <w:rsid w:val="004F0979"/>
    <w:rsid w:val="007E6BA2"/>
    <w:rsid w:val="008A28A2"/>
    <w:rsid w:val="00E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0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0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0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3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epnosc.pfron.org.pl/kafelki/skarga/skarga-na-bark-dostepno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ckziu2.edu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Stadnicka</dc:creator>
  <cp:lastModifiedBy>Małgorzata Adrych</cp:lastModifiedBy>
  <cp:revision>2</cp:revision>
  <dcterms:created xsi:type="dcterms:W3CDTF">2022-11-29T14:26:00Z</dcterms:created>
  <dcterms:modified xsi:type="dcterms:W3CDTF">2022-11-29T14:26:00Z</dcterms:modified>
</cp:coreProperties>
</file>