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006" w:rsidRPr="00B74358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B74358">
        <w:rPr>
          <w:rFonts w:ascii="Calibri" w:eastAsia="Calibri" w:hAnsi="Calibri" w:cs="Calibri"/>
          <w:sz w:val="24"/>
          <w:szCs w:val="24"/>
        </w:rPr>
        <w:t>Sprawny, czy nie?</w:t>
      </w:r>
    </w:p>
    <w:p w:rsidR="002E2006" w:rsidRDefault="002E2006">
      <w:pPr>
        <w:spacing w:line="240" w:lineRule="auto"/>
        <w:rPr>
          <w:rFonts w:ascii="Calibri" w:eastAsia="Calibri" w:hAnsi="Calibri" w:cs="Calibri"/>
          <w:sz w:val="20"/>
        </w:rPr>
      </w:pPr>
    </w:p>
    <w:p w:rsidR="002E2006" w:rsidRPr="00770DFB" w:rsidRDefault="00737F20">
      <w:pPr>
        <w:spacing w:line="240" w:lineRule="auto"/>
        <w:ind w:firstLine="708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 xml:space="preserve">W kalendarium świąt dzień  </w:t>
      </w:r>
      <w:r w:rsidRPr="00B74358">
        <w:rPr>
          <w:rFonts w:ascii="Calibri" w:eastAsia="Calibri" w:hAnsi="Calibri" w:cs="Calibri"/>
          <w:sz w:val="24"/>
          <w:szCs w:val="24"/>
        </w:rPr>
        <w:t>3- go grudnia</w:t>
      </w:r>
      <w:r w:rsidRPr="00770DFB">
        <w:rPr>
          <w:rFonts w:ascii="Calibri" w:eastAsia="Calibri" w:hAnsi="Calibri" w:cs="Calibri"/>
          <w:sz w:val="24"/>
          <w:szCs w:val="24"/>
        </w:rPr>
        <w:t xml:space="preserve">  jest dniem, w którym osoby dotknięte niepełnosprawnościami mają swoje święto. Jest to bowiem ,,Światowy Dzień Osób Niepełnosprawnych''.</w:t>
      </w:r>
    </w:p>
    <w:p w:rsidR="009B2365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W dzisiejszych czasach niepełnosprawność kojarzy się  z ludźmi starymi, niedołężnymi, chorymi, niewidomymi, niesłyszącymi lub poruszającymi się na wózkach inwalidzkich. W rzeczywistości powyższy termin ma  szersze znaczenie. Według słownika ję</w:t>
      </w:r>
      <w:r w:rsidR="009B2365" w:rsidRPr="00770DFB">
        <w:rPr>
          <w:rFonts w:ascii="Calibri" w:eastAsia="Calibri" w:hAnsi="Calibri" w:cs="Calibri"/>
          <w:sz w:val="24"/>
          <w:szCs w:val="24"/>
        </w:rPr>
        <w:t>zyka polskiego niepełnosprawny to człowiek nie osiągający pełnej sprawności fizycznej w skutek ułomności lub upośledzenia umysłowego.</w:t>
      </w:r>
      <w:r w:rsidR="009B2365" w:rsidRPr="00770DFB">
        <w:rPr>
          <w:rStyle w:val="Odwoanieprzypisudolnego"/>
          <w:rFonts w:ascii="Calibri" w:eastAsia="Calibri" w:hAnsi="Calibri" w:cs="Calibri"/>
          <w:sz w:val="24"/>
          <w:szCs w:val="24"/>
        </w:rPr>
        <w:footnoteReference w:id="2"/>
      </w:r>
      <w:r w:rsidRPr="00770DFB">
        <w:rPr>
          <w:rFonts w:ascii="Calibri" w:eastAsia="Calibri" w:hAnsi="Calibri" w:cs="Calibri"/>
          <w:sz w:val="24"/>
          <w:szCs w:val="24"/>
        </w:rPr>
        <w:t xml:space="preserve"> 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Zainspirowana utworem autorstwa Marii Dymel pt. „Niepełnosprawni, a kto to?”, chciałabym postawić pytanie: Czy nieraz zachowanie, gest, mimika twarzy, myśl nie czyni mnie/Ciebie  osobą niepełnosprawną?</w:t>
      </w:r>
    </w:p>
    <w:p w:rsidR="006C16FE" w:rsidRDefault="00B74358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Abyś mógł Drogi</w:t>
      </w:r>
      <w:r w:rsidR="00EB22E6" w:rsidRPr="00770DFB">
        <w:rPr>
          <w:rFonts w:ascii="Calibri" w:eastAsia="Calibri" w:hAnsi="Calibri" w:cs="Calibri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zytelniku</w:t>
      </w:r>
      <w:r w:rsidR="00737F20" w:rsidRPr="00770DFB">
        <w:rPr>
          <w:rFonts w:ascii="Calibri" w:eastAsia="Calibri" w:hAnsi="Calibri" w:cs="Calibri"/>
          <w:sz w:val="24"/>
          <w:szCs w:val="24"/>
        </w:rPr>
        <w:t xml:space="preserve">  odpowiedzieć </w:t>
      </w:r>
      <w:r>
        <w:rPr>
          <w:rFonts w:ascii="Calibri" w:eastAsia="Calibri" w:hAnsi="Calibri" w:cs="Calibri"/>
          <w:sz w:val="24"/>
          <w:szCs w:val="24"/>
        </w:rPr>
        <w:t>sobie na postawione pytanie, pozwól</w:t>
      </w:r>
      <w:r w:rsidR="00737F20" w:rsidRPr="00770DFB">
        <w:rPr>
          <w:rFonts w:ascii="Calibri" w:eastAsia="Calibri" w:hAnsi="Calibri" w:cs="Calibri"/>
          <w:sz w:val="24"/>
          <w:szCs w:val="24"/>
        </w:rPr>
        <w:t xml:space="preserve">, że </w:t>
      </w:r>
    </w:p>
    <w:p w:rsidR="002E2006" w:rsidRPr="00770DFB" w:rsidRDefault="00737F20" w:rsidP="006C16FE">
      <w:pPr>
        <w:spacing w:before="240" w:line="240" w:lineRule="auto"/>
        <w:ind w:left="-57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przytoczę część wspomnianej sztuki:</w:t>
      </w:r>
      <w:r w:rsidR="006C16FE" w:rsidRPr="006C16FE">
        <w:rPr>
          <w:rFonts w:ascii="Calibri" w:eastAsia="Calibri" w:hAnsi="Calibri" w:cs="Calibri"/>
          <w:noProof/>
          <w:sz w:val="24"/>
          <w:szCs w:val="24"/>
        </w:rPr>
        <w:t xml:space="preserve"> </w:t>
      </w:r>
      <w:r w:rsidR="006C16FE">
        <w:rPr>
          <w:rFonts w:ascii="Calibri" w:eastAsia="Calibri" w:hAnsi="Calibri" w:cs="Calibri"/>
          <w:noProof/>
          <w:sz w:val="24"/>
          <w:szCs w:val="24"/>
        </w:rPr>
        <w:t xml:space="preserve">                         </w:t>
      </w:r>
    </w:p>
    <w:p w:rsidR="002E2006" w:rsidRPr="00770DFB" w:rsidRDefault="006C4E72" w:rsidP="006C16FE">
      <w:pPr>
        <w:spacing w:line="240" w:lineRule="auto"/>
        <w:ind w:left="-5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236220</wp:posOffset>
            </wp:positionV>
            <wp:extent cx="2986405" cy="2076450"/>
            <wp:effectExtent l="19050" t="0" r="4445" b="0"/>
            <wp:wrapTight wrapText="left">
              <wp:wrapPolygon edited="0">
                <wp:start x="-138" y="0"/>
                <wp:lineTo x="-138" y="21402"/>
                <wp:lineTo x="21632" y="21402"/>
                <wp:lineTo x="21632" y="0"/>
                <wp:lineTo x="-138" y="0"/>
              </wp:wrapPolygon>
            </wp:wrapTight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F20" w:rsidRPr="00770DFB">
        <w:rPr>
          <w:rFonts w:ascii="Calibri" w:eastAsia="Calibri" w:hAnsi="Calibri" w:cs="Calibri"/>
          <w:sz w:val="24"/>
          <w:szCs w:val="24"/>
        </w:rPr>
        <w:t xml:space="preserve">„W ciepły wieczór majowy, </w:t>
      </w:r>
      <w:r w:rsidR="006C16FE">
        <w:rPr>
          <w:rFonts w:ascii="Calibri" w:eastAsia="Calibri" w:hAnsi="Calibri" w:cs="Calibri"/>
          <w:sz w:val="24"/>
          <w:szCs w:val="24"/>
        </w:rPr>
        <w:t xml:space="preserve">                                         </w:t>
      </w:r>
    </w:p>
    <w:p w:rsidR="002E2006" w:rsidRPr="00770DFB" w:rsidRDefault="00737F20" w:rsidP="006C16FE">
      <w:pPr>
        <w:spacing w:line="240" w:lineRule="auto"/>
        <w:ind w:left="-57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w bo maju jak to w maju</w:t>
      </w:r>
    </w:p>
    <w:p w:rsidR="002E2006" w:rsidRPr="00770DFB" w:rsidRDefault="00737F20" w:rsidP="006C16FE">
      <w:pPr>
        <w:spacing w:line="240" w:lineRule="auto"/>
        <w:ind w:left="-57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wszędzie dziewczyny i chłopcy;</w:t>
      </w:r>
    </w:p>
    <w:p w:rsidR="002E2006" w:rsidRPr="00770DFB" w:rsidRDefault="00737F20" w:rsidP="006C16FE">
      <w:pPr>
        <w:spacing w:line="240" w:lineRule="auto"/>
        <w:ind w:left="-57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 xml:space="preserve">W parku, na ulicach, w tramwaju. </w:t>
      </w:r>
    </w:p>
    <w:p w:rsidR="002E2006" w:rsidRPr="00770DFB" w:rsidRDefault="00737F20" w:rsidP="006C16FE">
      <w:pPr>
        <w:spacing w:line="240" w:lineRule="auto"/>
        <w:ind w:left="-57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 xml:space="preserve">Jedna para usiadła na ławce, </w:t>
      </w:r>
    </w:p>
    <w:p w:rsidR="002E2006" w:rsidRPr="00770DFB" w:rsidRDefault="00737F20" w:rsidP="006C16FE">
      <w:pPr>
        <w:spacing w:line="240" w:lineRule="auto"/>
        <w:ind w:left="-57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Wtedy oni się nagle zjawili;</w:t>
      </w:r>
    </w:p>
    <w:p w:rsidR="002E2006" w:rsidRPr="00770DFB" w:rsidRDefault="00737F20" w:rsidP="006C16FE">
      <w:pPr>
        <w:spacing w:line="240" w:lineRule="auto"/>
        <w:ind w:left="-57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Trochę śmiechów, głupawych żartów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 xml:space="preserve"> i ……..dziewczynę do stawu wrzucili.</w:t>
      </w:r>
    </w:p>
    <w:p w:rsidR="002E2006" w:rsidRPr="00770DFB" w:rsidRDefault="006C16FE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85090</wp:posOffset>
            </wp:positionV>
            <wp:extent cx="3001645" cy="2095500"/>
            <wp:effectExtent l="19050" t="0" r="8255" b="0"/>
            <wp:wrapTight wrapText="left">
              <wp:wrapPolygon edited="0">
                <wp:start x="-137" y="0"/>
                <wp:lineTo x="-137" y="21404"/>
                <wp:lineTo x="21659" y="21404"/>
                <wp:lineTo x="21659" y="0"/>
                <wp:lineTo x="-137" y="0"/>
              </wp:wrapPolygon>
            </wp:wrapTight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F20" w:rsidRPr="00770DFB">
        <w:rPr>
          <w:rFonts w:ascii="Calibri" w:eastAsia="Calibri" w:hAnsi="Calibri" w:cs="Calibri"/>
          <w:sz w:val="24"/>
          <w:szCs w:val="24"/>
        </w:rPr>
        <w:t xml:space="preserve">Chłopak pomógł jej upokorzony. </w:t>
      </w:r>
      <w:r>
        <w:rPr>
          <w:rFonts w:ascii="Calibri" w:eastAsia="Calibri" w:hAnsi="Calibri" w:cs="Calibri"/>
          <w:sz w:val="24"/>
          <w:szCs w:val="24"/>
        </w:rPr>
        <w:t xml:space="preserve">  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I odeszli, nie patrząc na siebie.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No a mogło być tak uroczo.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Jak w tym szóstym czy siódmym niebie</w:t>
      </w:r>
      <w:r w:rsidR="005B13E3" w:rsidRPr="00770DFB">
        <w:rPr>
          <w:rFonts w:ascii="Calibri" w:eastAsia="Calibri" w:hAnsi="Calibri" w:cs="Calibri"/>
          <w:sz w:val="24"/>
          <w:szCs w:val="24"/>
        </w:rPr>
        <w:t>”.</w:t>
      </w:r>
      <w:r w:rsidR="005B13E3" w:rsidRPr="00770DFB">
        <w:rPr>
          <w:rStyle w:val="Odwoanieprzypisudolnego"/>
          <w:rFonts w:ascii="Calibri" w:eastAsia="Calibri" w:hAnsi="Calibri" w:cs="Calibri"/>
          <w:sz w:val="24"/>
          <w:szCs w:val="24"/>
        </w:rPr>
        <w:footnoteReference w:id="3"/>
      </w:r>
    </w:p>
    <w:p w:rsidR="002E2006" w:rsidRPr="00770DFB" w:rsidRDefault="002E200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5B13E3" w:rsidRPr="00770DFB" w:rsidRDefault="005B13E3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W tle przytoczonej sceny słychać chórem brzmiące głosy.</w:t>
      </w:r>
    </w:p>
    <w:p w:rsidR="002E2006" w:rsidRPr="00770DFB" w:rsidRDefault="005B13E3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lastRenderedPageBreak/>
        <w:t>„</w:t>
      </w:r>
      <w:r w:rsidR="00737F20" w:rsidRPr="00770DFB">
        <w:rPr>
          <w:rFonts w:ascii="Calibri" w:eastAsia="Calibri" w:hAnsi="Calibri" w:cs="Calibri"/>
          <w:sz w:val="24"/>
          <w:szCs w:val="24"/>
        </w:rPr>
        <w:t xml:space="preserve">Najgorsza forma upośledzenia 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Kiedy się serce w kamień zamienia.”</w:t>
      </w:r>
      <w:r w:rsidR="00EB22E6" w:rsidRPr="00770DFB">
        <w:rPr>
          <w:rStyle w:val="Odwoanieprzypisudolnego"/>
          <w:rFonts w:ascii="Calibri" w:eastAsia="Calibri" w:hAnsi="Calibri" w:cs="Calibri"/>
          <w:sz w:val="24"/>
          <w:szCs w:val="24"/>
        </w:rPr>
        <w:footnoteReference w:id="4"/>
      </w:r>
    </w:p>
    <w:p w:rsidR="002E2006" w:rsidRPr="00770DFB" w:rsidRDefault="002E200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Upokorzyć, wyśmiać, wykpić i zamknąć swe serce na potrzeby drugiego człowieka.</w:t>
      </w:r>
    </w:p>
    <w:p w:rsidR="002E2006" w:rsidRPr="00770DFB" w:rsidRDefault="006C16FE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143510</wp:posOffset>
            </wp:positionV>
            <wp:extent cx="2226310" cy="3019425"/>
            <wp:effectExtent l="19050" t="0" r="2540" b="0"/>
            <wp:wrapTight wrapText="left">
              <wp:wrapPolygon edited="0">
                <wp:start x="-185" y="0"/>
                <wp:lineTo x="-185" y="21532"/>
                <wp:lineTo x="21625" y="21532"/>
                <wp:lineTo x="21625" y="0"/>
                <wp:lineTo x="-185" y="0"/>
              </wp:wrapPolygon>
            </wp:wrapTight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F20" w:rsidRPr="00770DFB">
        <w:rPr>
          <w:rFonts w:ascii="Calibri" w:eastAsia="Calibri" w:hAnsi="Calibri" w:cs="Calibri"/>
          <w:sz w:val="24"/>
          <w:szCs w:val="24"/>
        </w:rPr>
        <w:t>Druga część spektaklu przedstawia następujący obraz.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„Idzie wolno kobieta z siatkami.</w:t>
      </w:r>
      <w:r w:rsidR="006C16FE">
        <w:rPr>
          <w:rFonts w:ascii="Calibri" w:eastAsia="Calibri" w:hAnsi="Calibri" w:cs="Calibri"/>
          <w:sz w:val="24"/>
          <w:szCs w:val="24"/>
        </w:rPr>
        <w:t xml:space="preserve">                         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Ledwie drepce – widać, że ma dość,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a na przejściu z pękniętej torby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wysypuje się wszystko na złość.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 xml:space="preserve">Podbiegają chłopcy ze śmiechem, 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 xml:space="preserve">kopią celnie kapuściane głowy. 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Czemu płacze? Dziwią się jeszcze: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Przecież numer był odlotowy.</w:t>
      </w:r>
      <w:r w:rsidR="005B13E3" w:rsidRPr="00770DFB">
        <w:rPr>
          <w:rFonts w:ascii="Calibri" w:eastAsia="Calibri" w:hAnsi="Calibri" w:cs="Calibri"/>
          <w:sz w:val="24"/>
          <w:szCs w:val="24"/>
        </w:rPr>
        <w:t>”</w:t>
      </w:r>
      <w:r w:rsidR="005B13E3" w:rsidRPr="00770DFB">
        <w:rPr>
          <w:rStyle w:val="Odwoanieprzypisudolnego"/>
          <w:rFonts w:ascii="Calibri" w:eastAsia="Calibri" w:hAnsi="Calibri" w:cs="Calibri"/>
          <w:sz w:val="24"/>
          <w:szCs w:val="24"/>
        </w:rPr>
        <w:footnoteReference w:id="5"/>
      </w:r>
    </w:p>
    <w:p w:rsidR="002E2006" w:rsidRPr="00770DFB" w:rsidRDefault="002E200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5B13E3" w:rsidRPr="00770DFB" w:rsidRDefault="002C230D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Dla podkreślenia</w:t>
      </w:r>
      <w:r w:rsidR="00770DFB" w:rsidRPr="00770DFB">
        <w:rPr>
          <w:rFonts w:ascii="Calibri" w:eastAsia="Calibri" w:hAnsi="Calibri" w:cs="Calibri"/>
          <w:sz w:val="24"/>
          <w:szCs w:val="24"/>
        </w:rPr>
        <w:t xml:space="preserve"> dramaturgii </w:t>
      </w:r>
      <w:r w:rsidRPr="00770DFB">
        <w:rPr>
          <w:rFonts w:ascii="Calibri" w:eastAsia="Calibri" w:hAnsi="Calibri" w:cs="Calibri"/>
          <w:sz w:val="24"/>
          <w:szCs w:val="24"/>
        </w:rPr>
        <w:t xml:space="preserve"> widowiska, autorka ponownie wprowadza w tej części chór nieznanych głosów, które podsumowują sytuację następująco:</w:t>
      </w:r>
    </w:p>
    <w:p w:rsidR="002E2006" w:rsidRPr="00770DFB" w:rsidRDefault="002C230D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„</w:t>
      </w:r>
      <w:r w:rsidR="00737F20" w:rsidRPr="00770DFB">
        <w:rPr>
          <w:rFonts w:ascii="Calibri" w:eastAsia="Calibri" w:hAnsi="Calibri" w:cs="Calibri"/>
          <w:sz w:val="24"/>
          <w:szCs w:val="24"/>
        </w:rPr>
        <w:t xml:space="preserve">Jeśli nie widzisz  w drugim człowieka, 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Kaleka jesteś bracie, kaleka”</w:t>
      </w:r>
      <w:r w:rsidR="00EB22E6" w:rsidRPr="00770DFB">
        <w:rPr>
          <w:rStyle w:val="Odwoanieprzypisudolnego"/>
          <w:rFonts w:ascii="Calibri" w:eastAsia="Calibri" w:hAnsi="Calibri" w:cs="Calibri"/>
          <w:sz w:val="24"/>
          <w:szCs w:val="24"/>
        </w:rPr>
        <w:footnoteReference w:id="6"/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 xml:space="preserve">Ileż to razy odwracaliśmy wzrok od </w:t>
      </w:r>
      <w:r w:rsidR="002C230D" w:rsidRPr="00770DFB">
        <w:rPr>
          <w:rFonts w:ascii="Calibri" w:eastAsia="Calibri" w:hAnsi="Calibri" w:cs="Calibri"/>
          <w:sz w:val="24"/>
          <w:szCs w:val="24"/>
        </w:rPr>
        <w:t>potrzebujących</w:t>
      </w:r>
      <w:r w:rsidRPr="00770DFB">
        <w:rPr>
          <w:rFonts w:ascii="Calibri" w:eastAsia="Calibri" w:hAnsi="Calibri" w:cs="Calibri"/>
          <w:sz w:val="24"/>
          <w:szCs w:val="24"/>
        </w:rPr>
        <w:t xml:space="preserve"> naszej pomocy kolegów czy koleżanek?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 xml:space="preserve">Ileż to razy </w:t>
      </w:r>
      <w:r w:rsidR="002C230D" w:rsidRPr="00770DFB">
        <w:rPr>
          <w:rFonts w:ascii="Calibri" w:eastAsia="Calibri" w:hAnsi="Calibri" w:cs="Calibri"/>
          <w:sz w:val="24"/>
          <w:szCs w:val="24"/>
        </w:rPr>
        <w:t>wstydziliśmy</w:t>
      </w:r>
      <w:r w:rsidRPr="00770DFB">
        <w:rPr>
          <w:rFonts w:ascii="Calibri" w:eastAsia="Calibri" w:hAnsi="Calibri" w:cs="Calibri"/>
          <w:sz w:val="24"/>
          <w:szCs w:val="24"/>
        </w:rPr>
        <w:t xml:space="preserve"> się pomóc, bo przecież nikt nie pomagał…..  Tyle sytuacji, tyle osób, którym mogliśmy pomóc dobrą radą, wsparciem, uśmiechem. Coraz częściej powraca do mnie pytanie o moją pełnosprawność, której istotą jest empatia, praca dla i z drugim człowiekiem.</w:t>
      </w:r>
    </w:p>
    <w:p w:rsidR="002E2006" w:rsidRPr="00770DFB" w:rsidRDefault="00B74358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Drogi</w:t>
      </w:r>
      <w:r w:rsidR="002C230D" w:rsidRPr="00770DFB">
        <w:rPr>
          <w:rFonts w:ascii="Calibri" w:eastAsia="Calibri" w:hAnsi="Calibri" w:cs="Calibri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zytelniku pozwól</w:t>
      </w:r>
      <w:r w:rsidR="00737F20" w:rsidRPr="00770DFB">
        <w:rPr>
          <w:rFonts w:ascii="Calibri" w:eastAsia="Calibri" w:hAnsi="Calibri" w:cs="Calibri"/>
          <w:sz w:val="24"/>
          <w:szCs w:val="24"/>
        </w:rPr>
        <w:t>, że przedstawi</w:t>
      </w:r>
      <w:r>
        <w:rPr>
          <w:rFonts w:ascii="Calibri" w:eastAsia="Calibri" w:hAnsi="Calibri" w:cs="Calibri"/>
          <w:sz w:val="24"/>
          <w:szCs w:val="24"/>
        </w:rPr>
        <w:t>ę</w:t>
      </w:r>
      <w:r w:rsidR="00737F20" w:rsidRPr="00770DFB">
        <w:rPr>
          <w:rFonts w:ascii="Calibri" w:eastAsia="Calibri" w:hAnsi="Calibri" w:cs="Calibri"/>
          <w:sz w:val="24"/>
          <w:szCs w:val="24"/>
        </w:rPr>
        <w:t xml:space="preserve"> jeszcze j</w:t>
      </w:r>
      <w:r w:rsidR="00770DFB" w:rsidRPr="00770DFB">
        <w:rPr>
          <w:rFonts w:ascii="Calibri" w:eastAsia="Calibri" w:hAnsi="Calibri" w:cs="Calibri"/>
          <w:sz w:val="24"/>
          <w:szCs w:val="24"/>
        </w:rPr>
        <w:t>eden akt wspomnianego utworu.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„Na skwerze w centrum kwitną kwiaty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-  tęcza na szarym ciele miasta,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lastRenderedPageBreak/>
        <w:t>lecz nie dla wszystkich kwiat jest kwiatem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 xml:space="preserve">  i po co się  tak rozrasta?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 xml:space="preserve">Nocą dla żartu trzeba zdeptać, 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Dla śmiechu wyrwać (taka nuda),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A dla efektu i dla draki: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Przewróćmy znaki, jak się uda.</w:t>
      </w:r>
    </w:p>
    <w:p w:rsidR="002E2006" w:rsidRPr="00770DFB" w:rsidRDefault="002C230D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 xml:space="preserve">W tej części </w:t>
      </w:r>
      <w:r w:rsidR="00770DFB" w:rsidRPr="00770DFB">
        <w:rPr>
          <w:rFonts w:ascii="Calibri" w:eastAsia="Calibri" w:hAnsi="Calibri" w:cs="Calibri"/>
          <w:sz w:val="24"/>
          <w:szCs w:val="24"/>
        </w:rPr>
        <w:t xml:space="preserve">skandaliczne zachowanie </w:t>
      </w:r>
      <w:r w:rsidRPr="00770DFB">
        <w:rPr>
          <w:rFonts w:ascii="Calibri" w:eastAsia="Calibri" w:hAnsi="Calibri" w:cs="Calibri"/>
          <w:sz w:val="24"/>
          <w:szCs w:val="24"/>
        </w:rPr>
        <w:t xml:space="preserve">również zostaje </w:t>
      </w:r>
      <w:r w:rsidR="00770DFB" w:rsidRPr="00770DFB">
        <w:rPr>
          <w:rFonts w:ascii="Calibri" w:eastAsia="Calibri" w:hAnsi="Calibri" w:cs="Calibri"/>
          <w:sz w:val="24"/>
          <w:szCs w:val="24"/>
        </w:rPr>
        <w:t xml:space="preserve">skarcone poprzez  </w:t>
      </w:r>
      <w:r w:rsidRPr="00770DFB">
        <w:rPr>
          <w:rFonts w:ascii="Calibri" w:eastAsia="Calibri" w:hAnsi="Calibri" w:cs="Calibri"/>
          <w:sz w:val="24"/>
          <w:szCs w:val="24"/>
        </w:rPr>
        <w:t xml:space="preserve">zbiorczą wypowiedź: 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 xml:space="preserve">Wandalu, wcale nie jesteś zabawny, 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Lecz umysłowo niepełnosprawny.”</w:t>
      </w:r>
      <w:r w:rsidR="00EB22E6" w:rsidRPr="00770DFB">
        <w:rPr>
          <w:rStyle w:val="Odwoanieprzypisudolnego"/>
          <w:rFonts w:ascii="Calibri" w:eastAsia="Calibri" w:hAnsi="Calibri" w:cs="Calibri"/>
          <w:sz w:val="24"/>
          <w:szCs w:val="24"/>
        </w:rPr>
        <w:footnoteReference w:id="7"/>
      </w:r>
    </w:p>
    <w:p w:rsidR="002E2006" w:rsidRPr="00770DFB" w:rsidRDefault="002E200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Przenosząc plan akcji na teren nam najbliższy, czyli dom, podwórko, szkołę można by postawić pytania: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Czy dbamy o miejsca , w których przebywamy?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Czy szanujemy pracę innych osób, które troszczą się o miejsca ważne dla nas?</w:t>
      </w:r>
    </w:p>
    <w:p w:rsidR="002E2006" w:rsidRPr="00770DFB" w:rsidRDefault="00737F2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770DFB">
        <w:rPr>
          <w:rFonts w:ascii="Calibri" w:eastAsia="Calibri" w:hAnsi="Calibri" w:cs="Calibri"/>
          <w:sz w:val="24"/>
          <w:szCs w:val="24"/>
        </w:rPr>
        <w:t>Kończą</w:t>
      </w:r>
      <w:r w:rsidR="00B74358">
        <w:rPr>
          <w:rFonts w:ascii="Calibri" w:eastAsia="Calibri" w:hAnsi="Calibri" w:cs="Calibri"/>
          <w:sz w:val="24"/>
          <w:szCs w:val="24"/>
        </w:rPr>
        <w:t xml:space="preserve">c swoje rozważania, pragnę Cię  Drogi </w:t>
      </w:r>
      <w:r w:rsidR="00EB22E6" w:rsidRPr="00770DFB">
        <w:rPr>
          <w:rFonts w:ascii="Calibri" w:eastAsia="Calibri" w:hAnsi="Calibri" w:cs="Calibri"/>
          <w:sz w:val="24"/>
          <w:szCs w:val="24"/>
        </w:rPr>
        <w:t>Cz</w:t>
      </w:r>
      <w:r w:rsidR="00B74358">
        <w:rPr>
          <w:rFonts w:ascii="Calibri" w:eastAsia="Calibri" w:hAnsi="Calibri" w:cs="Calibri"/>
          <w:sz w:val="24"/>
          <w:szCs w:val="24"/>
        </w:rPr>
        <w:t xml:space="preserve">ytelniku </w:t>
      </w:r>
      <w:r w:rsidRPr="00770DFB">
        <w:rPr>
          <w:rFonts w:ascii="Calibri" w:eastAsia="Calibri" w:hAnsi="Calibri" w:cs="Calibri"/>
          <w:sz w:val="24"/>
          <w:szCs w:val="24"/>
        </w:rPr>
        <w:t xml:space="preserve"> zachęcić do zapoznania się z całością cytowanego utworu oraz do zastanowienia się nad odpowiedziami postawionych w tekście pytań,  a przede wszystkim do autorefleksji  „Zastanów się i ty kolego, czy nie masz coś z niepełnosprawnego?”</w:t>
      </w:r>
      <w:r w:rsidR="00EB22E6" w:rsidRPr="00770DFB">
        <w:rPr>
          <w:rStyle w:val="Odwoanieprzypisudolnego"/>
          <w:rFonts w:ascii="Calibri" w:eastAsia="Calibri" w:hAnsi="Calibri" w:cs="Calibri"/>
          <w:sz w:val="24"/>
          <w:szCs w:val="24"/>
        </w:rPr>
        <w:footnoteReference w:id="8"/>
      </w:r>
      <w:r w:rsidRPr="00770DFB">
        <w:rPr>
          <w:rFonts w:ascii="Calibri" w:eastAsia="Calibri" w:hAnsi="Calibri" w:cs="Calibri"/>
          <w:sz w:val="24"/>
          <w:szCs w:val="24"/>
        </w:rPr>
        <w:t>.</w:t>
      </w:r>
    </w:p>
    <w:p w:rsidR="002E2006" w:rsidRPr="00770DFB" w:rsidRDefault="002E2006">
      <w:pPr>
        <w:rPr>
          <w:rFonts w:ascii="Calibri" w:eastAsia="Calibri" w:hAnsi="Calibri" w:cs="Calibri"/>
          <w:sz w:val="28"/>
          <w:szCs w:val="28"/>
        </w:rPr>
      </w:pPr>
    </w:p>
    <w:p w:rsidR="002E2006" w:rsidRPr="00770DFB" w:rsidRDefault="002E2006">
      <w:pPr>
        <w:rPr>
          <w:rFonts w:ascii="Calibri" w:eastAsia="Calibri" w:hAnsi="Calibri" w:cs="Calibri"/>
          <w:sz w:val="28"/>
          <w:szCs w:val="28"/>
        </w:rPr>
      </w:pPr>
    </w:p>
    <w:p w:rsidR="002E2006" w:rsidRPr="00770DFB" w:rsidRDefault="002E2006">
      <w:pPr>
        <w:rPr>
          <w:rFonts w:ascii="Calibri" w:eastAsia="Calibri" w:hAnsi="Calibri" w:cs="Calibri"/>
          <w:sz w:val="28"/>
          <w:szCs w:val="28"/>
        </w:rPr>
      </w:pPr>
    </w:p>
    <w:p w:rsidR="002E2006" w:rsidRPr="00770DFB" w:rsidRDefault="002E2006">
      <w:pPr>
        <w:rPr>
          <w:rFonts w:ascii="Calibri" w:eastAsia="Calibri" w:hAnsi="Calibri" w:cs="Calibri"/>
          <w:sz w:val="28"/>
          <w:szCs w:val="28"/>
        </w:rPr>
      </w:pPr>
    </w:p>
    <w:p w:rsidR="002E2006" w:rsidRPr="00770DFB" w:rsidRDefault="002E2006">
      <w:pPr>
        <w:rPr>
          <w:rFonts w:ascii="Calibri" w:eastAsia="Calibri" w:hAnsi="Calibri" w:cs="Calibri"/>
          <w:sz w:val="28"/>
          <w:szCs w:val="28"/>
        </w:rPr>
      </w:pPr>
    </w:p>
    <w:p w:rsidR="002E2006" w:rsidRPr="00770DFB" w:rsidRDefault="002E2006">
      <w:pPr>
        <w:rPr>
          <w:rFonts w:ascii="Calibri" w:eastAsia="Calibri" w:hAnsi="Calibri" w:cs="Calibri"/>
          <w:sz w:val="28"/>
          <w:szCs w:val="28"/>
        </w:rPr>
      </w:pPr>
    </w:p>
    <w:p w:rsidR="002E2006" w:rsidRDefault="002E2006">
      <w:pPr>
        <w:rPr>
          <w:rFonts w:ascii="Calibri" w:eastAsia="Calibri" w:hAnsi="Calibri" w:cs="Calibri"/>
          <w:sz w:val="28"/>
          <w:szCs w:val="28"/>
        </w:rPr>
      </w:pPr>
    </w:p>
    <w:p w:rsidR="006C4E72" w:rsidRDefault="006C4E72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>Pozostałe prace rysownika o pseudonimie cryokinesis.</w:t>
      </w:r>
    </w:p>
    <w:p w:rsidR="006C4E72" w:rsidRDefault="006C4E72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>
            <wp:extent cx="5686425" cy="3961577"/>
            <wp:effectExtent l="19050" t="0" r="9525" b="0"/>
            <wp:docPr id="8" name="Obraz 7" descr="ławk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ławka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545" cy="39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72" w:rsidRDefault="006C4E72">
      <w:pPr>
        <w:rPr>
          <w:rFonts w:ascii="Calibri" w:eastAsia="Calibri" w:hAnsi="Calibri" w:cs="Calibri"/>
          <w:sz w:val="28"/>
          <w:szCs w:val="28"/>
        </w:rPr>
      </w:pPr>
    </w:p>
    <w:p w:rsidR="006C4E72" w:rsidRPr="00770DFB" w:rsidRDefault="006C4E72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>
            <wp:extent cx="5753100" cy="3962400"/>
            <wp:effectExtent l="19050" t="0" r="0" b="0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E72" w:rsidRPr="00770DFB" w:rsidSect="002D09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ADE" w:rsidRDefault="00197ADE" w:rsidP="00EB22E6">
      <w:pPr>
        <w:spacing w:after="0" w:line="240" w:lineRule="auto"/>
      </w:pPr>
      <w:r>
        <w:separator/>
      </w:r>
    </w:p>
  </w:endnote>
  <w:endnote w:type="continuationSeparator" w:id="1">
    <w:p w:rsidR="00197ADE" w:rsidRDefault="00197ADE" w:rsidP="00EB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ADE" w:rsidRDefault="00197ADE" w:rsidP="00EB22E6">
      <w:pPr>
        <w:spacing w:after="0" w:line="240" w:lineRule="auto"/>
      </w:pPr>
      <w:r>
        <w:separator/>
      </w:r>
    </w:p>
  </w:footnote>
  <w:footnote w:type="continuationSeparator" w:id="1">
    <w:p w:rsidR="00197ADE" w:rsidRDefault="00197ADE" w:rsidP="00EB22E6">
      <w:pPr>
        <w:spacing w:after="0" w:line="240" w:lineRule="auto"/>
      </w:pPr>
      <w:r>
        <w:continuationSeparator/>
      </w:r>
    </w:p>
  </w:footnote>
  <w:footnote w:id="2">
    <w:p w:rsidR="009B2365" w:rsidRDefault="009B236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B2365">
        <w:rPr>
          <w:i/>
        </w:rPr>
        <w:t>Mały słownik języka polskiego</w:t>
      </w:r>
      <w:r>
        <w:t xml:space="preserve">. </w:t>
      </w:r>
      <w:r w:rsidR="00770DFB">
        <w:t xml:space="preserve">E. Sobol (red.), </w:t>
      </w:r>
      <w:r>
        <w:t>Wyd. PWN, Warszawa 1995, str.499</w:t>
      </w:r>
    </w:p>
  </w:footnote>
  <w:footnote w:id="3">
    <w:p w:rsidR="005B13E3" w:rsidRDefault="005B13E3">
      <w:pPr>
        <w:pStyle w:val="Tekstprzypisudolnego"/>
      </w:pPr>
      <w:r>
        <w:rPr>
          <w:rStyle w:val="Odwoanieprzypisudolnego"/>
        </w:rPr>
        <w:footnoteRef/>
      </w:r>
      <w:r>
        <w:t xml:space="preserve"> M.Dymel, </w:t>
      </w:r>
      <w:r w:rsidRPr="005B13E3">
        <w:rPr>
          <w:i/>
        </w:rPr>
        <w:t>Niepełnosprawni, a kto to?</w:t>
      </w:r>
      <w:r>
        <w:rPr>
          <w:i/>
        </w:rPr>
        <w:t xml:space="preserve"> Scenariusz widowiska, </w:t>
      </w:r>
      <w:r w:rsidRPr="005B13E3">
        <w:t>Wszystko gra. Wybór materiałów repertuarowych „Biblioteki w szkole”</w:t>
      </w:r>
      <w:r>
        <w:t>, Agencja SUKURS, Warszawa 2007, str.210</w:t>
      </w:r>
    </w:p>
  </w:footnote>
  <w:footnote w:id="4">
    <w:p w:rsidR="00EB22E6" w:rsidRDefault="00EB22E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5B13E3">
        <w:t xml:space="preserve"> M.Dymel, </w:t>
      </w:r>
      <w:r w:rsidR="005B13E3" w:rsidRPr="005B13E3">
        <w:rPr>
          <w:i/>
        </w:rPr>
        <w:t>Niepełnosprawni, a kto to?</w:t>
      </w:r>
      <w:r w:rsidR="005B13E3">
        <w:rPr>
          <w:i/>
        </w:rPr>
        <w:t xml:space="preserve"> Scenariusz widowiska, </w:t>
      </w:r>
      <w:r w:rsidR="005B13E3" w:rsidRPr="005B13E3">
        <w:t>Wszystko gra. Wybór materiałów repertuarowych „Biblioteki w szkole”</w:t>
      </w:r>
      <w:r w:rsidR="005B13E3">
        <w:t>, Agencja SUKURS, Warszawa 2007, str.210</w:t>
      </w:r>
    </w:p>
  </w:footnote>
  <w:footnote w:id="5">
    <w:p w:rsidR="005B13E3" w:rsidRDefault="005B13E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2C230D">
        <w:t xml:space="preserve">M.Dymel, </w:t>
      </w:r>
      <w:r w:rsidR="002C230D" w:rsidRPr="005B13E3">
        <w:rPr>
          <w:i/>
        </w:rPr>
        <w:t>Niepełnosprawni, a kto to?</w:t>
      </w:r>
      <w:r w:rsidR="002C230D">
        <w:rPr>
          <w:i/>
        </w:rPr>
        <w:t xml:space="preserve"> Scenariusz widowiska, </w:t>
      </w:r>
      <w:r w:rsidR="002C230D" w:rsidRPr="005B13E3">
        <w:t>Wszystko gra. Wybór materiałów repertuarowych „Biblioteki w szkole”</w:t>
      </w:r>
      <w:r w:rsidR="002C230D">
        <w:t>, Agencja SUKURS, Warszawa 2007, str.210</w:t>
      </w:r>
    </w:p>
  </w:footnote>
  <w:footnote w:id="6">
    <w:p w:rsidR="00EB22E6" w:rsidRDefault="00EB22E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5B13E3">
        <w:t xml:space="preserve">M.Dymel, </w:t>
      </w:r>
      <w:r w:rsidR="005B13E3" w:rsidRPr="005B13E3">
        <w:rPr>
          <w:i/>
        </w:rPr>
        <w:t>Niepełnosprawni, a kto to?</w:t>
      </w:r>
      <w:r w:rsidR="005B13E3">
        <w:rPr>
          <w:i/>
        </w:rPr>
        <w:t xml:space="preserve"> Scenariusz widowiska, </w:t>
      </w:r>
      <w:r w:rsidR="005B13E3" w:rsidRPr="005B13E3">
        <w:t>Wszystko gra. Wybór materiałów repertuarowych „Biblioteki w szkole”</w:t>
      </w:r>
      <w:r w:rsidR="005B13E3">
        <w:t>, Agencja SUKURS, Warszawa 2007, str.210</w:t>
      </w:r>
    </w:p>
  </w:footnote>
  <w:footnote w:id="7">
    <w:p w:rsidR="00EB22E6" w:rsidRDefault="00EB22E6">
      <w:pPr>
        <w:pStyle w:val="Tekstprzypisudolnego"/>
      </w:pPr>
      <w:r>
        <w:rPr>
          <w:rStyle w:val="Odwoanieprzypisudolnego"/>
        </w:rPr>
        <w:footnoteRef/>
      </w:r>
      <w:r w:rsidR="005B13E3">
        <w:t xml:space="preserve"> M.Dymel, </w:t>
      </w:r>
      <w:r w:rsidR="005B13E3" w:rsidRPr="005B13E3">
        <w:rPr>
          <w:i/>
        </w:rPr>
        <w:t>Niepełnosprawni, a kto to?</w:t>
      </w:r>
      <w:r w:rsidR="005B13E3">
        <w:rPr>
          <w:i/>
        </w:rPr>
        <w:t xml:space="preserve"> Scenariusz widowiska, </w:t>
      </w:r>
      <w:r w:rsidR="005B13E3" w:rsidRPr="005B13E3">
        <w:t>Wszystko gra. Wybór materiałów repertuarowych „Biblioteki w szkole”</w:t>
      </w:r>
      <w:r w:rsidR="005B13E3">
        <w:t>, Agencja SUKURS, Warszawa 2007, str.210</w:t>
      </w:r>
    </w:p>
  </w:footnote>
  <w:footnote w:id="8">
    <w:p w:rsidR="00EB22E6" w:rsidRPr="005B13E3" w:rsidRDefault="00EB22E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5B13E3">
        <w:t xml:space="preserve">M.Dymel, </w:t>
      </w:r>
      <w:r w:rsidR="005B13E3" w:rsidRPr="005B13E3">
        <w:rPr>
          <w:i/>
        </w:rPr>
        <w:t>Niepełnosprawni, a kto to?</w:t>
      </w:r>
      <w:r w:rsidR="005B13E3">
        <w:rPr>
          <w:i/>
        </w:rPr>
        <w:t xml:space="preserve"> Scenariusz widowiska, </w:t>
      </w:r>
      <w:r w:rsidR="005B13E3" w:rsidRPr="005B13E3">
        <w:t>Wszystko gra. Wybór materiałów repertuarowych „Biblioteki w szkole”</w:t>
      </w:r>
      <w:r w:rsidR="005B13E3">
        <w:t>, Agencja SUKURS, Warszawa 2007, str.210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2006"/>
    <w:rsid w:val="00197ADE"/>
    <w:rsid w:val="002C230D"/>
    <w:rsid w:val="002D0950"/>
    <w:rsid w:val="002E2006"/>
    <w:rsid w:val="0040795F"/>
    <w:rsid w:val="005315D2"/>
    <w:rsid w:val="005B13E3"/>
    <w:rsid w:val="006C16FE"/>
    <w:rsid w:val="006C4E72"/>
    <w:rsid w:val="00737F20"/>
    <w:rsid w:val="00770DFB"/>
    <w:rsid w:val="009B2365"/>
    <w:rsid w:val="00B74358"/>
    <w:rsid w:val="00EB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09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22E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22E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22E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551C7-ABAB-48C8-BB36-6D3854259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508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piter</cp:lastModifiedBy>
  <cp:revision>6</cp:revision>
  <dcterms:created xsi:type="dcterms:W3CDTF">2022-10-24T15:53:00Z</dcterms:created>
  <dcterms:modified xsi:type="dcterms:W3CDTF">2022-11-20T21:09:00Z</dcterms:modified>
</cp:coreProperties>
</file>