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8" w:rsidRPr="00C65475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bookmarkStart w:id="0" w:name="_GoBack"/>
      <w:bookmarkEnd w:id="0"/>
      <w:r w:rsidRPr="00C65475">
        <w:rPr>
          <w:rFonts w:cs="AgendaPl Bold"/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rFonts w:cs="AgendaPl Bold"/>
          <w:b/>
          <w:bCs/>
          <w:color w:val="FF7F00"/>
          <w:sz w:val="44"/>
          <w:szCs w:val="44"/>
        </w:rPr>
        <w:t>5</w:t>
      </w:r>
      <w:r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W przedmiotowym systemie oceniania (PSO) wykorzystano zapisy tematów i zagadnień zawartych w rozkładzie nauczania.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Zaproponowany PSO jest jedynie </w:t>
      </w:r>
      <w:r w:rsidRPr="00CE2CF8">
        <w:rPr>
          <w:rFonts w:ascii="Arial" w:hAnsi="Arial" w:cs="Arial"/>
          <w:b/>
          <w:bCs/>
          <w:sz w:val="20"/>
          <w:szCs w:val="20"/>
        </w:rPr>
        <w:t xml:space="preserve">propozycją, jedną z wielu możliwości. </w:t>
      </w:r>
      <w:r w:rsidR="001728F3">
        <w:rPr>
          <w:rFonts w:ascii="Arial" w:hAnsi="Arial" w:cs="Arial"/>
          <w:b/>
          <w:bCs/>
          <w:sz w:val="20"/>
          <w:szCs w:val="20"/>
        </w:rPr>
        <w:t>Należy go dopasować do</w:t>
      </w:r>
      <w:r w:rsidRPr="00CE2CF8">
        <w:rPr>
          <w:rFonts w:ascii="Arial" w:hAnsi="Arial" w:cs="Arial"/>
          <w:sz w:val="20"/>
          <w:szCs w:val="20"/>
        </w:rPr>
        <w:t xml:space="preserve">: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a) WSO – wewnątrzszkol</w:t>
      </w:r>
      <w:r w:rsidR="001728F3">
        <w:rPr>
          <w:rFonts w:ascii="Arial" w:hAnsi="Arial" w:cs="Arial"/>
          <w:sz w:val="20"/>
          <w:szCs w:val="20"/>
        </w:rPr>
        <w:t>nego</w:t>
      </w:r>
      <w:r w:rsidRPr="00CE2CF8">
        <w:rPr>
          <w:rFonts w:ascii="Arial" w:hAnsi="Arial" w:cs="Arial"/>
          <w:sz w:val="20"/>
          <w:szCs w:val="20"/>
        </w:rPr>
        <w:t xml:space="preserve"> system</w:t>
      </w:r>
      <w:r w:rsidR="001728F3">
        <w:rPr>
          <w:rFonts w:ascii="Arial" w:hAnsi="Arial" w:cs="Arial"/>
          <w:sz w:val="20"/>
          <w:szCs w:val="20"/>
        </w:rPr>
        <w:t>u</w:t>
      </w:r>
      <w:r w:rsidRPr="00CE2CF8">
        <w:rPr>
          <w:rFonts w:ascii="Arial" w:hAnsi="Arial" w:cs="Arial"/>
          <w:sz w:val="20"/>
          <w:szCs w:val="20"/>
        </w:rPr>
        <w:t xml:space="preserve"> oceniania,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b) możliwości i potrzeb uczniów w konkretnej klasie. </w:t>
      </w:r>
    </w:p>
    <w:p w:rsidR="00CE2CF8" w:rsidRPr="00CE2CF8" w:rsidRDefault="00CE2CF8" w:rsidP="001728F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Nie należy przedstawionej propozycji traktować jako jedynej możliwej, wzorcowej, ponieważ jest to schemat, który trzeba zmienić, uszczegółowić, biorąc pod uwagę wymienione wyżej punkty. Poza tym każdy nauczyciel wie – po poznaniu dzieci w klasie czwartej i dokonaniu dokładnej analizy ich osiągnięć – jakie wymagania może stawiać konkretnym uczniom, aby w możliwie najbardziej efektywny sposób zdobyli wiedzę i umiejętności umożliwiające im dalszą naukę. </w:t>
      </w:r>
    </w:p>
    <w:p w:rsid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Jednocześnie PSO pozwala pokazać uczniom (i rodzicom), co jeszcze mogą lub powinni poprawić w swojej pracy, aby zdobyć większą wiedzę i umiejętności, a tym samym uzyskać lepszą ocenę.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pracy zespołowej polegającej na napisaniu planu wydarzeń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narracja pierwszoosobowa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zapisuje niektóre informacje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charakteryzuje osobę opowiadającą o wydarzeniach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Dziewczynka trzymająca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oddziela przymiotniki nazywające barwę od 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własne wrażenia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wypisuje z wiersza pary </w:t>
            </w:r>
            <w:r w:rsidRPr="00902601">
              <w:rPr>
                <w:bCs/>
                <w:sz w:val="20"/>
                <w:szCs w:val="20"/>
              </w:rPr>
              <w:lastRenderedPageBreak/>
              <w:t>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układ i powtarzanie się rymów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bohaterów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towarzyszące mu w danych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udane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wskazuje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</w:t>
            </w:r>
            <w:r w:rsidRPr="00902601">
              <w:rPr>
                <w:rFonts w:cs="Arial"/>
                <w:b/>
                <w:sz w:val="20"/>
                <w:szCs w:val="20"/>
              </w:rPr>
              <w:lastRenderedPageBreak/>
              <w:t xml:space="preserve">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Zwykły szeregowiec, tymczasem... Portret Nemeczka – bohatera </w:t>
            </w: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informacje na temat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lastRenderedPageBreak/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</w:t>
            </w:r>
            <w:r w:rsidRPr="00902601">
              <w:rPr>
                <w:sz w:val="20"/>
                <w:szCs w:val="20"/>
              </w:rPr>
              <w:lastRenderedPageBreak/>
              <w:t xml:space="preserve">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</w:t>
            </w:r>
            <w:r w:rsidRPr="00902601">
              <w:rPr>
                <w:sz w:val="20"/>
                <w:szCs w:val="20"/>
              </w:rPr>
              <w:lastRenderedPageBreak/>
              <w:t>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</w:t>
            </w:r>
            <w:r w:rsidR="00D64A5B" w:rsidRPr="00902601">
              <w:rPr>
                <w:rFonts w:cs="Arial"/>
                <w:sz w:val="20"/>
                <w:szCs w:val="20"/>
              </w:rPr>
              <w:lastRenderedPageBreak/>
              <w:t>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podaje informacje na temat Adama Mickiewicza i jego </w:t>
            </w:r>
            <w:r w:rsidRPr="00902601">
              <w:rPr>
                <w:sz w:val="20"/>
                <w:szCs w:val="20"/>
              </w:rPr>
              <w:lastRenderedPageBreak/>
              <w:t>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zasady, których powinno się przestrzegać przy </w:t>
            </w:r>
            <w:r w:rsidRPr="00902601">
              <w:rPr>
                <w:sz w:val="20"/>
                <w:szCs w:val="20"/>
              </w:rPr>
              <w:lastRenderedPageBreak/>
              <w:t>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uczestniczy w rozmowie na temat zasad obowiązujących przy stole </w:t>
            </w:r>
            <w:r w:rsidRPr="00902601">
              <w:rPr>
                <w:sz w:val="20"/>
                <w:szCs w:val="20"/>
              </w:rPr>
              <w:lastRenderedPageBreak/>
              <w:t>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tekstu wyrażającego odmowę,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odnajduje analogie między biografią autora tekstu i wspomnianymi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analogie między biografią autora tekstu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ustnie wybrany plakat, wyraża opinię na jego temat (wartościuje dzieło plastyczne),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wnie opisuje wybrany plakat, wyraża opinię na jego temat (wartościuje dzieło plastyczne) i uzasadnia swoją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pomnikach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Planujemy wycieczkę </w:t>
            </w:r>
            <w:r w:rsidRPr="00902601">
              <w:rPr>
                <w:b/>
                <w:sz w:val="20"/>
                <w:szCs w:val="20"/>
              </w:rPr>
              <w:lastRenderedPageBreak/>
              <w:t>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krótko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krótko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ustnie przedmioty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nie opisuje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przygotowuje komiks o zabawnym szkolnym wydarzeniu; stosuje wszystkie wyznaczniki tej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wydarzeń przedstawionych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nagromadzenie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nagromadzenia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rozbudowuje zdania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buduje związki poboczne zdań, dodając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buduje związki poboczne zdań, dodając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Przygotowujemy klasową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>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3); 2: 8), 9), 10); II, 1: 1), 2), 3), 4), 6), 8), 10);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doboru określeń rzeczownika i czasownika zgodnie z ukształtowaniem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dobiera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dobiera określenia rzeczownika i czasownika,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relacji z wymyślonej przygody,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relację z wymyślonej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barwną relację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jakich sytuacjach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Przypowieści o miłosiernym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 xml:space="preserve">– mówi, jak można być dobrym we </w:t>
            </w: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, pisze przypowieść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opowiada o wrażeniach związanych z odgłosami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 xml:space="preserve">, 1: 1), 6), 9), 12), 14), 15), 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bada elementy tworzące rytm wiersza (z reguły bezbłędnie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umiejętnie bada elementy tworzące rytm wiersza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elementy świata </w:t>
            </w: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I, 1: 1), 7), 9), 11), 14), 15), 16), 18), 19), 20); 2: 2), 5); II, 1: 6); 2: 4), 5), 6), 9); 4: 1), 2); III, 1: 1), 2), 3), 4), 5); 2: 1); IV,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bezbłędny pod względem językowym list z zachowaniem wszystkich elementy tej formy wypowiedzi, stosuje odpowiednie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podejmuje próbę określenia celu powstania plakatów, wypowiada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argumentuje swoje stanowisko,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umiejętnie uzasadnia swoje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był stosunek Jerzego do </w:t>
            </w:r>
            <w:r w:rsidRPr="00902601">
              <w:rPr>
                <w:b/>
                <w:sz w:val="20"/>
                <w:szCs w:val="20"/>
              </w:rPr>
              <w:lastRenderedPageBreak/>
              <w:t>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jednoznacznymi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opisu miejsca, wykorzystując zgromadzone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wskazać w 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 pod kątem ich tematów, sposobów ukazywania na nich przestrzeni i wierności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6), 12), 14), 15), 17), 18);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tematy poszczególnych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4), 6), 9), 12), 14), 15), 17), 18), 20); 2: 2), 3), 8), 9), 11); II, 2: 4), 6); 3: 1), 2); III, 1: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opisuje sytuację przedstawioną w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sytuacji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przedstawia ruchami jednej </w:t>
            </w:r>
            <w:r w:rsidRPr="00902601">
              <w:rPr>
                <w:sz w:val="20"/>
                <w:szCs w:val="20"/>
              </w:rPr>
              <w:lastRenderedPageBreak/>
              <w:t>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</w:t>
            </w:r>
            <w:r w:rsidRPr="00902601">
              <w:rPr>
                <w:sz w:val="20"/>
                <w:szCs w:val="20"/>
              </w:rPr>
              <w:lastRenderedPageBreak/>
              <w:t xml:space="preserve">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</w:t>
            </w:r>
            <w:r w:rsidRPr="00045B08">
              <w:rPr>
                <w:sz w:val="20"/>
                <w:szCs w:val="20"/>
              </w:rPr>
              <w:lastRenderedPageBreak/>
              <w:t xml:space="preserve">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lastRenderedPageBreak/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lastRenderedPageBreak/>
              <w:t>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podaje najważniejsze informacje na temat głównych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wyjaśnia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najbardziej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graficzne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</w:t>
            </w:r>
            <w:r w:rsidRPr="006940D8">
              <w:rPr>
                <w:b/>
                <w:sz w:val="20"/>
                <w:szCs w:val="20"/>
              </w:rPr>
              <w:lastRenderedPageBreak/>
              <w:t>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rzadko odpowiada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odpowiada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 xml:space="preserve">– film dokumentalny, </w:t>
            </w:r>
            <w:r w:rsidRPr="00630540">
              <w:rPr>
                <w:rFonts w:cs="Arial"/>
                <w:bCs/>
                <w:sz w:val="20"/>
                <w:szCs w:val="20"/>
              </w:rPr>
              <w:lastRenderedPageBreak/>
              <w:t>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poprawnie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3), 5), 7), 9), 10), 11), 12), 14), 15), 16), 17),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stosuje właściwe formy czasowników, używa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własny przepis (na sałatkę młodości, koktajl odmładzający),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 to jest radośnie 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części mowy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niektóre określenia metaforyczne, które w sposób eufemistyczny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wyjaśnia sens wybranych fragmentów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5), 6), 9), 12), 14),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dostrzega ponadczasowość wydarzenia, o którym mowa w tekście (niezmiennie pojawiające się postaci: Jezus, Józef, Maria, zmieniające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wskazuje w tekście utworu wyrazy i wyrażenia sugerujące konieczność odczytania wiersza w kontekście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5), 9), 12), 14), 15), 16), 17), 18), 20); 2: 2), 3), 4), 8), 11), 12); II, 2: 4), 6), 9); 3: 1), 2), 3); 4: 1), 2); III, 1: 1), 3);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pisze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łączy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łączy symbol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ogłoszenie informujące o uroczystych obchodach Święta Konstytucji 3 Maja (np. akademii szkolnej), zachowuje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ogłoszenie informujące o uroczystych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EB5" w:rsidRDefault="007A0EB5" w:rsidP="00285D6F">
      <w:r>
        <w:separator/>
      </w:r>
    </w:p>
  </w:endnote>
  <w:endnote w:type="continuationSeparator" w:id="0">
    <w:p w:rsidR="007A0EB5" w:rsidRDefault="007A0EB5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gendaPl 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2F52C6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419E1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:rsidR="001F63AB" w:rsidRDefault="002F52C6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E111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F52C6">
      <w:rPr>
        <w:noProof/>
      </w:rPr>
      <w:t>1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EB5" w:rsidRDefault="007A0EB5" w:rsidP="00285D6F">
      <w:r>
        <w:separator/>
      </w:r>
    </w:p>
  </w:footnote>
  <w:footnote w:type="continuationSeparator" w:id="0">
    <w:p w:rsidR="007A0EB5" w:rsidRDefault="007A0EB5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2F52C6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A0EB5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D4E67-F8BC-4CA5-8DFC-D3A1B7E8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06ADB-2AB2-4788-8DC7-2D4A18FE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30018</Words>
  <Characters>180114</Characters>
  <Application>Microsoft Office Word</Application>
  <DocSecurity>0</DocSecurity>
  <Lines>1500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SPAdmin</cp:lastModifiedBy>
  <cp:revision>3</cp:revision>
  <dcterms:created xsi:type="dcterms:W3CDTF">2024-05-08T10:50:00Z</dcterms:created>
  <dcterms:modified xsi:type="dcterms:W3CDTF">2024-05-08T10:50:00Z</dcterms:modified>
</cp:coreProperties>
</file>